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09" w:rsidRPr="00ED2006" w:rsidRDefault="00280D00" w:rsidP="00ED20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2006">
        <w:rPr>
          <w:rFonts w:ascii="Times New Roman" w:hAnsi="Times New Roman" w:cs="Times New Roman"/>
        </w:rPr>
        <w:t xml:space="preserve">Thèse de doctorat </w:t>
      </w:r>
      <w:r w:rsidRPr="00ED2006">
        <w:rPr>
          <w:rFonts w:ascii="Times New Roman" w:hAnsi="Times New Roman" w:cs="Times New Roman"/>
          <w:i/>
        </w:rPr>
        <w:t xml:space="preserve">La céramique tardo-républicaine en Italie centro-tyrrhénienne : établissement et confrontation des faciès du Latium septentrional et d’Étrurie méridionale entre le IIe s. et le Ier s. av. n.è. </w:t>
      </w:r>
      <w:r w:rsidRPr="00ED2006">
        <w:rPr>
          <w:rFonts w:ascii="Times New Roman" w:hAnsi="Times New Roman" w:cs="Times New Roman"/>
        </w:rPr>
        <w:t xml:space="preserve">réalisée en cotutelle internationale entre l’Université de </w:t>
      </w:r>
      <w:r w:rsidRPr="00ED2006">
        <w:rPr>
          <w:rFonts w:ascii="Times New Roman" w:hAnsi="Times New Roman" w:cs="Times New Roman"/>
        </w:rPr>
        <w:t>Lyon 2 Lumière</w:t>
      </w:r>
      <w:r w:rsidRPr="00ED2006">
        <w:rPr>
          <w:rFonts w:ascii="Times New Roman" w:hAnsi="Times New Roman" w:cs="Times New Roman"/>
        </w:rPr>
        <w:t xml:space="preserve"> et l’Université de </w:t>
      </w:r>
      <w:r w:rsidR="00AA18BB" w:rsidRPr="00ED2006">
        <w:rPr>
          <w:rFonts w:ascii="Times New Roman" w:hAnsi="Times New Roman" w:cs="Times New Roman"/>
        </w:rPr>
        <w:t>Liège</w:t>
      </w:r>
      <w:r w:rsidRPr="00ED2006">
        <w:rPr>
          <w:rFonts w:ascii="Times New Roman" w:hAnsi="Times New Roman" w:cs="Times New Roman"/>
        </w:rPr>
        <w:t xml:space="preserve">, sous la direction de </w:t>
      </w:r>
      <w:r w:rsidR="00AA18BB" w:rsidRPr="00ED2006">
        <w:rPr>
          <w:rFonts w:ascii="Times New Roman" w:hAnsi="Times New Roman" w:cs="Times New Roman"/>
        </w:rPr>
        <w:t>Armand Desbat</w:t>
      </w:r>
      <w:r w:rsidRPr="00ED2006">
        <w:rPr>
          <w:rFonts w:ascii="Times New Roman" w:hAnsi="Times New Roman" w:cs="Times New Roman"/>
        </w:rPr>
        <w:t xml:space="preserve"> et </w:t>
      </w:r>
      <w:r w:rsidR="00AA18BB" w:rsidRPr="00ED2006">
        <w:rPr>
          <w:rFonts w:ascii="Times New Roman" w:hAnsi="Times New Roman" w:cs="Times New Roman"/>
        </w:rPr>
        <w:t>Xavier Deru</w:t>
      </w:r>
      <w:r w:rsidRPr="00ED2006">
        <w:rPr>
          <w:rFonts w:ascii="Times New Roman" w:hAnsi="Times New Roman" w:cs="Times New Roman"/>
        </w:rPr>
        <w:t>,</w:t>
      </w:r>
      <w:r w:rsidR="00AA18BB" w:rsidRPr="00ED2006">
        <w:rPr>
          <w:rFonts w:ascii="Times New Roman" w:hAnsi="Times New Roman" w:cs="Times New Roman"/>
        </w:rPr>
        <w:t xml:space="preserve"> sur fonds propres.</w:t>
      </w:r>
    </w:p>
    <w:p w:rsidR="00B01FF7" w:rsidRPr="00ED2006" w:rsidRDefault="00B01FF7" w:rsidP="00ED200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A18BB" w:rsidRPr="00ED2006" w:rsidRDefault="00AA18BB" w:rsidP="00ED20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D2006">
        <w:rPr>
          <w:rFonts w:ascii="Times New Roman" w:hAnsi="Times New Roman" w:cs="Times New Roman"/>
        </w:rPr>
        <w:t>S</w:t>
      </w:r>
      <w:r w:rsidRPr="00ED2006">
        <w:rPr>
          <w:rFonts w:ascii="Times New Roman" w:hAnsi="Times New Roman" w:cs="Times New Roman"/>
        </w:rPr>
        <w:t xml:space="preserve">outenue à </w:t>
      </w:r>
      <w:r w:rsidRPr="00ED2006">
        <w:rPr>
          <w:rFonts w:ascii="Times New Roman" w:hAnsi="Times New Roman" w:cs="Times New Roman"/>
        </w:rPr>
        <w:t>Lyon</w:t>
      </w:r>
      <w:r w:rsidRPr="00ED2006">
        <w:rPr>
          <w:rFonts w:ascii="Times New Roman" w:hAnsi="Times New Roman" w:cs="Times New Roman"/>
        </w:rPr>
        <w:t xml:space="preserve"> le </w:t>
      </w:r>
      <w:r w:rsidRPr="00ED2006">
        <w:rPr>
          <w:rFonts w:ascii="Times New Roman" w:hAnsi="Times New Roman" w:cs="Times New Roman"/>
        </w:rPr>
        <w:t>14 janvier 2019</w:t>
      </w:r>
      <w:r w:rsidRPr="00ED2006">
        <w:rPr>
          <w:rFonts w:ascii="Times New Roman" w:hAnsi="Times New Roman" w:cs="Times New Roman"/>
        </w:rPr>
        <w:t xml:space="preserve"> et délivrée sans mention (conformément au décret Bologne du 31 mars 2004). Membres du jury :</w:t>
      </w:r>
      <w:r w:rsidRPr="00ED2006">
        <w:rPr>
          <w:rFonts w:ascii="Times New Roman" w:hAnsi="Times New Roman" w:cs="Times New Roman"/>
        </w:rPr>
        <w:t xml:space="preserve"> Armand Desbat (CNRS),</w:t>
      </w:r>
      <w:r w:rsidRPr="00ED2006">
        <w:rPr>
          <w:rFonts w:ascii="Times New Roman" w:hAnsi="Times New Roman" w:cs="Times New Roman"/>
        </w:rPr>
        <w:t xml:space="preserve"> Xavier Deru (U</w:t>
      </w:r>
      <w:r w:rsidRPr="00ED2006">
        <w:rPr>
          <w:rFonts w:ascii="Times New Roman" w:hAnsi="Times New Roman" w:cs="Times New Roman"/>
        </w:rPr>
        <w:t xml:space="preserve">niversité de </w:t>
      </w:r>
      <w:r w:rsidRPr="00ED2006">
        <w:rPr>
          <w:rFonts w:ascii="Times New Roman" w:hAnsi="Times New Roman" w:cs="Times New Roman"/>
        </w:rPr>
        <w:t>Liège), Thomas Morard (</w:t>
      </w:r>
      <w:r w:rsidRPr="00ED2006">
        <w:rPr>
          <w:rFonts w:ascii="Times New Roman" w:hAnsi="Times New Roman" w:cs="Times New Roman"/>
        </w:rPr>
        <w:t>Université de Liège</w:t>
      </w:r>
      <w:r w:rsidRPr="00ED2006">
        <w:rPr>
          <w:rFonts w:ascii="Times New Roman" w:hAnsi="Times New Roman" w:cs="Times New Roman"/>
        </w:rPr>
        <w:t xml:space="preserve">), </w:t>
      </w:r>
      <w:r w:rsidRPr="00ED2006">
        <w:rPr>
          <w:rFonts w:ascii="Times New Roman" w:hAnsi="Times New Roman" w:cs="Times New Roman"/>
        </w:rPr>
        <w:t>Cécile Batigne-Vallet</w:t>
      </w:r>
      <w:r w:rsidRPr="00ED2006">
        <w:rPr>
          <w:rFonts w:ascii="Times New Roman" w:hAnsi="Times New Roman" w:cs="Times New Roman"/>
        </w:rPr>
        <w:t xml:space="preserve"> (</w:t>
      </w:r>
      <w:r w:rsidRPr="00ED2006">
        <w:rPr>
          <w:rFonts w:ascii="Times New Roman" w:hAnsi="Times New Roman" w:cs="Times New Roman"/>
        </w:rPr>
        <w:t>Université de Lyon 2 Lumière</w:t>
      </w:r>
      <w:r w:rsidRPr="00ED2006">
        <w:rPr>
          <w:rFonts w:ascii="Times New Roman" w:hAnsi="Times New Roman" w:cs="Times New Roman"/>
        </w:rPr>
        <w:t xml:space="preserve">), </w:t>
      </w:r>
      <w:r w:rsidRPr="00ED2006">
        <w:rPr>
          <w:rFonts w:ascii="Times New Roman" w:hAnsi="Times New Roman" w:cs="Times New Roman"/>
        </w:rPr>
        <w:t>Vincent Jolivet</w:t>
      </w:r>
      <w:r w:rsidRPr="00ED2006">
        <w:rPr>
          <w:rFonts w:ascii="Times New Roman" w:hAnsi="Times New Roman" w:cs="Times New Roman"/>
        </w:rPr>
        <w:t xml:space="preserve"> (</w:t>
      </w:r>
      <w:r w:rsidRPr="00ED2006">
        <w:rPr>
          <w:rFonts w:ascii="Times New Roman" w:hAnsi="Times New Roman" w:cs="Times New Roman"/>
        </w:rPr>
        <w:t>ENS</w:t>
      </w:r>
      <w:r w:rsidRPr="00ED2006">
        <w:rPr>
          <w:rFonts w:ascii="Times New Roman" w:hAnsi="Times New Roman" w:cs="Times New Roman"/>
        </w:rPr>
        <w:t xml:space="preserve">) &amp; </w:t>
      </w:r>
      <w:r w:rsidRPr="00ED2006">
        <w:rPr>
          <w:rFonts w:ascii="Times New Roman" w:hAnsi="Times New Roman" w:cs="Times New Roman"/>
        </w:rPr>
        <w:t>Gloria Olcese</w:t>
      </w:r>
      <w:r w:rsidRPr="00ED2006">
        <w:rPr>
          <w:rFonts w:ascii="Times New Roman" w:hAnsi="Times New Roman" w:cs="Times New Roman"/>
        </w:rPr>
        <w:t xml:space="preserve"> (</w:t>
      </w:r>
      <w:r w:rsidRPr="00ED2006">
        <w:rPr>
          <w:rFonts w:ascii="Times New Roman" w:hAnsi="Times New Roman" w:cs="Times New Roman"/>
        </w:rPr>
        <w:t>Université de Milan</w:t>
      </w:r>
      <w:r w:rsidRPr="00ED2006">
        <w:rPr>
          <w:rFonts w:ascii="Times New Roman" w:hAnsi="Times New Roman" w:cs="Times New Roman"/>
        </w:rPr>
        <w:t>).</w:t>
      </w:r>
    </w:p>
    <w:p w:rsidR="00AA18BB" w:rsidRDefault="00AA18BB" w:rsidP="00ED200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D2006" w:rsidRPr="00ED2006" w:rsidRDefault="00ED2006" w:rsidP="00ED200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A18BB" w:rsidRPr="00ED2006" w:rsidRDefault="00AA18BB" w:rsidP="00ED200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D2006">
        <w:rPr>
          <w:rFonts w:ascii="Times New Roman" w:hAnsi="Times New Roman" w:cs="Times New Roman"/>
          <w:b/>
        </w:rPr>
        <w:t>La céramique tardo-républicaine en Italie centro-tyrrhénienne : établissement et confrontation des faciès du Latium septentrional et d’Étrurie méridionale entre le IIe s. et le Ier s. av.</w:t>
      </w:r>
    </w:p>
    <w:p w:rsidR="00AA18BB" w:rsidRPr="00ED2006" w:rsidRDefault="00AA18BB" w:rsidP="00ED200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01FF7" w:rsidRPr="00ED2006" w:rsidRDefault="00AA18BB" w:rsidP="00ED2006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2006">
        <w:rPr>
          <w:sz w:val="22"/>
          <w:szCs w:val="22"/>
        </w:rPr>
        <w:t>Les études menées jusqu’à présent sur les céramiques tardo-républicaines se sont cantonnées à des passages à visée purement chronologique au sein de publications de sites ou à des monographies, aujourd’hui en partie datées, qui ont cloisonné le matériel à l’intérieur de dynamiques catégorielles et diachroniques.</w:t>
      </w:r>
      <w:r w:rsidRPr="00ED2006">
        <w:rPr>
          <w:sz w:val="22"/>
          <w:szCs w:val="22"/>
        </w:rPr>
        <w:t xml:space="preserve"> </w:t>
      </w:r>
      <w:r w:rsidRPr="00ED2006">
        <w:rPr>
          <w:sz w:val="22"/>
          <w:szCs w:val="22"/>
        </w:rPr>
        <w:t xml:space="preserve">À travers les études des contextes inédits de la domus aux Bucranes à Ostie et les citernes 635 et 643 du marché de Musarna – croisés aux rares données publiées – cette recherche doctorale </w:t>
      </w:r>
      <w:r w:rsidRPr="00ED2006">
        <w:rPr>
          <w:sz w:val="22"/>
          <w:szCs w:val="22"/>
        </w:rPr>
        <w:t>met</w:t>
      </w:r>
      <w:r w:rsidRPr="00ED2006">
        <w:rPr>
          <w:sz w:val="22"/>
          <w:szCs w:val="22"/>
        </w:rPr>
        <w:t xml:space="preserve"> en avant la logique des assemblages céramiques qui n’a jamais été entreprise pour cette période pourtant charnière de l’Histoire romaine</w:t>
      </w:r>
      <w:r w:rsidRPr="00ED2006">
        <w:rPr>
          <w:sz w:val="22"/>
          <w:szCs w:val="22"/>
        </w:rPr>
        <w:t xml:space="preserve"> </w:t>
      </w:r>
      <w:r w:rsidRPr="00ED2006">
        <w:rPr>
          <w:sz w:val="22"/>
          <w:szCs w:val="22"/>
        </w:rPr>
        <w:t xml:space="preserve">en utilisant les principes peu employés de quantification. </w:t>
      </w:r>
      <w:r w:rsidRPr="00ED2006">
        <w:rPr>
          <w:sz w:val="22"/>
          <w:szCs w:val="22"/>
        </w:rPr>
        <w:t xml:space="preserve">Ainsi, </w:t>
      </w:r>
      <w:r w:rsidRPr="00ED2006">
        <w:rPr>
          <w:i/>
          <w:sz w:val="22"/>
          <w:szCs w:val="22"/>
        </w:rPr>
        <w:t>via</w:t>
      </w:r>
      <w:r w:rsidRPr="00ED2006">
        <w:rPr>
          <w:sz w:val="22"/>
          <w:szCs w:val="22"/>
        </w:rPr>
        <w:t xml:space="preserve"> l’établissement puis la confrontation de deux axes géographiques (le Latium septentrional et l’Étrurie méridionale) et de trois axes chronologiques (la première moitié du II</w:t>
      </w:r>
      <w:r w:rsidRPr="00ED2006">
        <w:rPr>
          <w:sz w:val="22"/>
          <w:szCs w:val="22"/>
          <w:vertAlign w:val="superscript"/>
        </w:rPr>
        <w:t>e</w:t>
      </w:r>
      <w:r w:rsidRPr="00ED2006">
        <w:rPr>
          <w:sz w:val="22"/>
          <w:szCs w:val="22"/>
        </w:rPr>
        <w:t xml:space="preserve"> s. av. n.è., la seconde moitié du II</w:t>
      </w:r>
      <w:r w:rsidRPr="00ED2006">
        <w:rPr>
          <w:sz w:val="22"/>
          <w:szCs w:val="22"/>
          <w:vertAlign w:val="superscript"/>
        </w:rPr>
        <w:t>e</w:t>
      </w:r>
      <w:r w:rsidRPr="00ED2006">
        <w:rPr>
          <w:sz w:val="22"/>
          <w:szCs w:val="22"/>
        </w:rPr>
        <w:t xml:space="preserve"> s. av. n.è. et le I</w:t>
      </w:r>
      <w:r w:rsidRPr="00ED2006">
        <w:rPr>
          <w:sz w:val="22"/>
          <w:szCs w:val="22"/>
          <w:vertAlign w:val="superscript"/>
        </w:rPr>
        <w:t>er</w:t>
      </w:r>
      <w:r w:rsidRPr="00ED2006">
        <w:rPr>
          <w:sz w:val="22"/>
          <w:szCs w:val="22"/>
        </w:rPr>
        <w:t xml:space="preserve"> s. av. n.è.)</w:t>
      </w:r>
      <w:r w:rsidR="00B01FF7" w:rsidRPr="00ED2006">
        <w:rPr>
          <w:sz w:val="22"/>
          <w:szCs w:val="22"/>
        </w:rPr>
        <w:t xml:space="preserve">, cette recherche s’est employée à </w:t>
      </w:r>
      <w:r w:rsidRPr="00ED2006">
        <w:rPr>
          <w:sz w:val="22"/>
          <w:szCs w:val="22"/>
        </w:rPr>
        <w:t xml:space="preserve">déterminer les points communs, les différences et les évolutions, que ce soit du point de vue catégoriel, formel, typologique, ou technique, </w:t>
      </w:r>
      <w:r w:rsidR="00B01FF7" w:rsidRPr="00ED2006">
        <w:rPr>
          <w:sz w:val="22"/>
          <w:szCs w:val="22"/>
        </w:rPr>
        <w:t>pour ensuite</w:t>
      </w:r>
      <w:r w:rsidRPr="00ED2006">
        <w:rPr>
          <w:sz w:val="22"/>
          <w:szCs w:val="22"/>
        </w:rPr>
        <w:t xml:space="preserve"> raisonner sur les questions d’identité et de pratiques culturelles, d’économie et de flux commerciaux, mais aussi de chronologie du matériel même.</w:t>
      </w:r>
    </w:p>
    <w:p w:rsidR="00B01FF7" w:rsidRDefault="00B01FF7" w:rsidP="00ED2006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D2006" w:rsidRPr="00ED2006" w:rsidRDefault="00ED2006" w:rsidP="00ED2006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01FF7" w:rsidRPr="00ED2006" w:rsidRDefault="00B01FF7" w:rsidP="00ED2006">
      <w:pPr>
        <w:pStyle w:val="NormalWeb"/>
        <w:spacing w:before="0" w:beforeAutospacing="0" w:after="0" w:afterAutospacing="0" w:line="276" w:lineRule="auto"/>
        <w:jc w:val="both"/>
        <w:rPr>
          <w:b/>
          <w:sz w:val="22"/>
          <w:szCs w:val="22"/>
          <w:lang w:val="en-GB"/>
        </w:rPr>
      </w:pPr>
      <w:r w:rsidRPr="00ED2006">
        <w:rPr>
          <w:b/>
          <w:sz w:val="22"/>
          <w:szCs w:val="22"/>
          <w:lang w:val="en-GB"/>
        </w:rPr>
        <w:t>The Late Republican pottery in centro-</w:t>
      </w:r>
      <w:r w:rsidR="00912D92" w:rsidRPr="00ED2006">
        <w:rPr>
          <w:b/>
          <w:sz w:val="22"/>
          <w:szCs w:val="22"/>
          <w:lang w:val="en-GB"/>
        </w:rPr>
        <w:t>T</w:t>
      </w:r>
      <w:r w:rsidRPr="00ED2006">
        <w:rPr>
          <w:b/>
          <w:sz w:val="22"/>
          <w:szCs w:val="22"/>
          <w:lang w:val="en-GB"/>
        </w:rPr>
        <w:t>yrrhenian</w:t>
      </w:r>
      <w:r w:rsidRPr="00ED2006">
        <w:rPr>
          <w:b/>
          <w:sz w:val="22"/>
          <w:szCs w:val="22"/>
          <w:lang w:val="en-GB"/>
        </w:rPr>
        <w:t xml:space="preserve"> Italy: </w:t>
      </w:r>
      <w:r w:rsidR="00912D92" w:rsidRPr="00ED2006">
        <w:rPr>
          <w:b/>
          <w:sz w:val="22"/>
          <w:szCs w:val="22"/>
          <w:shd w:val="clear" w:color="auto" w:fill="FFFFFF"/>
          <w:lang w:val="en-GB"/>
        </w:rPr>
        <w:t xml:space="preserve">Establishment and confrontation of the northern Latium and southern Etruria </w:t>
      </w:r>
      <w:r w:rsidR="00912D92" w:rsidRPr="00ED2006">
        <w:rPr>
          <w:b/>
          <w:i/>
          <w:sz w:val="22"/>
          <w:szCs w:val="22"/>
          <w:shd w:val="clear" w:color="auto" w:fill="FFFFFF"/>
          <w:lang w:val="en-GB"/>
        </w:rPr>
        <w:t xml:space="preserve">faciès </w:t>
      </w:r>
      <w:r w:rsidR="00912D92" w:rsidRPr="00ED2006">
        <w:rPr>
          <w:b/>
          <w:sz w:val="22"/>
          <w:szCs w:val="22"/>
          <w:shd w:val="clear" w:color="auto" w:fill="FFFFFF"/>
          <w:lang w:val="en-GB"/>
        </w:rPr>
        <w:t xml:space="preserve">between the </w:t>
      </w:r>
      <w:r w:rsidR="00ED2006" w:rsidRPr="00ED2006">
        <w:rPr>
          <w:b/>
          <w:sz w:val="22"/>
          <w:szCs w:val="22"/>
          <w:shd w:val="clear" w:color="auto" w:fill="FFFFFF"/>
          <w:lang w:val="en-GB"/>
        </w:rPr>
        <w:t>2</w:t>
      </w:r>
      <w:r w:rsidR="00912D92" w:rsidRPr="00ED2006">
        <w:rPr>
          <w:b/>
          <w:sz w:val="22"/>
          <w:szCs w:val="22"/>
          <w:shd w:val="clear" w:color="auto" w:fill="FFFFFF"/>
          <w:vertAlign w:val="superscript"/>
          <w:lang w:val="en-GB"/>
        </w:rPr>
        <w:t>h</w:t>
      </w:r>
      <w:r w:rsidR="00912D92" w:rsidRPr="00ED2006">
        <w:rPr>
          <w:b/>
          <w:sz w:val="22"/>
          <w:szCs w:val="22"/>
          <w:shd w:val="clear" w:color="auto" w:fill="FFFFFF"/>
          <w:lang w:val="en-GB"/>
        </w:rPr>
        <w:t xml:space="preserve"> and </w:t>
      </w:r>
      <w:r w:rsidR="00ED2006" w:rsidRPr="00ED2006">
        <w:rPr>
          <w:b/>
          <w:sz w:val="22"/>
          <w:szCs w:val="22"/>
          <w:shd w:val="clear" w:color="auto" w:fill="FFFFFF"/>
          <w:lang w:val="en-GB"/>
        </w:rPr>
        <w:t>1</w:t>
      </w:r>
      <w:r w:rsidR="00912D92" w:rsidRPr="00ED2006">
        <w:rPr>
          <w:b/>
          <w:sz w:val="22"/>
          <w:szCs w:val="22"/>
          <w:shd w:val="clear" w:color="auto" w:fill="FFFFFF"/>
          <w:vertAlign w:val="superscript"/>
          <w:lang w:val="en-GB"/>
        </w:rPr>
        <w:t>st</w:t>
      </w:r>
      <w:r w:rsidR="00912D92" w:rsidRPr="00ED2006">
        <w:rPr>
          <w:b/>
          <w:sz w:val="22"/>
          <w:szCs w:val="22"/>
          <w:shd w:val="clear" w:color="auto" w:fill="FFFFFF"/>
          <w:lang w:val="en-GB"/>
        </w:rPr>
        <w:t xml:space="preserve"> c. B.C.</w:t>
      </w:r>
    </w:p>
    <w:p w:rsidR="00B01FF7" w:rsidRPr="00ED2006" w:rsidRDefault="00B01FF7" w:rsidP="00ED2006">
      <w:pPr>
        <w:pStyle w:val="NormalWeb"/>
        <w:spacing w:before="0" w:beforeAutospacing="0" w:after="0" w:afterAutospacing="0" w:line="276" w:lineRule="auto"/>
        <w:jc w:val="both"/>
        <w:rPr>
          <w:b/>
          <w:sz w:val="22"/>
          <w:szCs w:val="22"/>
          <w:lang w:val="en-GB"/>
        </w:rPr>
      </w:pPr>
    </w:p>
    <w:p w:rsidR="00ED2006" w:rsidRPr="00ED2006" w:rsidRDefault="00912D92" w:rsidP="00ED2006">
      <w:pPr>
        <w:pStyle w:val="NormalWeb"/>
        <w:spacing w:before="0" w:beforeAutospacing="0" w:after="0" w:line="276" w:lineRule="auto"/>
        <w:jc w:val="both"/>
        <w:rPr>
          <w:sz w:val="22"/>
          <w:szCs w:val="22"/>
          <w:lang w:val="en-GB"/>
        </w:rPr>
      </w:pPr>
      <w:r w:rsidRPr="00ED2006">
        <w:rPr>
          <w:sz w:val="22"/>
          <w:szCs w:val="22"/>
          <w:lang w:val="en-GB"/>
        </w:rPr>
        <w:t xml:space="preserve">Until the present research, Late Republican pottery is quite strictly considered as </w:t>
      </w:r>
      <w:r w:rsidR="00ED2006" w:rsidRPr="00ED2006">
        <w:rPr>
          <w:sz w:val="22"/>
          <w:szCs w:val="22"/>
          <w:lang w:val="en-GB"/>
        </w:rPr>
        <w:t>chronological</w:t>
      </w:r>
      <w:r w:rsidRPr="00ED2006">
        <w:rPr>
          <w:sz w:val="22"/>
          <w:szCs w:val="22"/>
          <w:lang w:val="en-GB"/>
        </w:rPr>
        <w:t xml:space="preserve"> tool in the studies or is </w:t>
      </w:r>
      <w:r w:rsidR="00AA18BB" w:rsidRPr="00ED2006">
        <w:rPr>
          <w:sz w:val="22"/>
          <w:szCs w:val="22"/>
          <w:lang w:val="en-GB"/>
        </w:rPr>
        <w:t>limited in one-</w:t>
      </w:r>
      <w:r w:rsidR="00B01FF7" w:rsidRPr="00ED2006">
        <w:rPr>
          <w:sz w:val="22"/>
          <w:szCs w:val="22"/>
          <w:lang w:val="en-GB"/>
        </w:rPr>
        <w:t>category</w:t>
      </w:r>
      <w:r w:rsidR="00AA18BB" w:rsidRPr="00ED2006">
        <w:rPr>
          <w:sz w:val="22"/>
          <w:szCs w:val="22"/>
          <w:lang w:val="en-GB"/>
        </w:rPr>
        <w:t xml:space="preserve"> monographs, partially dated today, which isolate</w:t>
      </w:r>
      <w:r w:rsidRPr="00ED2006">
        <w:rPr>
          <w:sz w:val="22"/>
          <w:szCs w:val="22"/>
          <w:lang w:val="en-GB"/>
        </w:rPr>
        <w:t xml:space="preserve"> each one of</w:t>
      </w:r>
      <w:r w:rsidR="00AA18BB" w:rsidRPr="00ED2006">
        <w:rPr>
          <w:sz w:val="22"/>
          <w:szCs w:val="22"/>
          <w:lang w:val="en-GB"/>
        </w:rPr>
        <w:t xml:space="preserve"> them in their own specific and diachronic dynamics.</w:t>
      </w:r>
      <w:r w:rsidR="00B01FF7" w:rsidRPr="00ED2006">
        <w:rPr>
          <w:sz w:val="22"/>
          <w:szCs w:val="22"/>
          <w:lang w:val="en-GB"/>
        </w:rPr>
        <w:t xml:space="preserve"> </w:t>
      </w:r>
      <w:r w:rsidR="00AA18BB" w:rsidRPr="00ED2006">
        <w:rPr>
          <w:sz w:val="22"/>
          <w:szCs w:val="22"/>
          <w:lang w:val="en-GB"/>
        </w:rPr>
        <w:t>Through the studies of the unpublished contexts of the Domus aux Bucranes at Ostia and the cisterna 635 a</w:t>
      </w:r>
      <w:bookmarkStart w:id="0" w:name="_GoBack"/>
      <w:bookmarkEnd w:id="0"/>
      <w:r w:rsidR="00AA18BB" w:rsidRPr="00ED2006">
        <w:rPr>
          <w:sz w:val="22"/>
          <w:szCs w:val="22"/>
          <w:lang w:val="en-GB"/>
        </w:rPr>
        <w:t xml:space="preserve">nd 643 of the market at Musarna – crossed to the rare published data – </w:t>
      </w:r>
      <w:r w:rsidR="00B01FF7" w:rsidRPr="00ED2006">
        <w:rPr>
          <w:sz w:val="22"/>
          <w:szCs w:val="22"/>
          <w:lang w:val="en-GB"/>
        </w:rPr>
        <w:t>t</w:t>
      </w:r>
      <w:r w:rsidR="00AA18BB" w:rsidRPr="00ED2006">
        <w:rPr>
          <w:sz w:val="22"/>
          <w:szCs w:val="22"/>
          <w:lang w:val="en-GB"/>
        </w:rPr>
        <w:t>his doctoral research put forward the logic of the ceramic assemblies which was never drew for this important period of the Roman History</w:t>
      </w:r>
      <w:r w:rsidR="00B01FF7" w:rsidRPr="00ED2006">
        <w:rPr>
          <w:sz w:val="22"/>
          <w:szCs w:val="22"/>
          <w:lang w:val="en-GB"/>
        </w:rPr>
        <w:t xml:space="preserve"> </w:t>
      </w:r>
      <w:r w:rsidR="00B01FF7" w:rsidRPr="00ED2006">
        <w:rPr>
          <w:sz w:val="22"/>
          <w:szCs w:val="22"/>
          <w:lang w:val="en-GB"/>
        </w:rPr>
        <w:t>by using the unused principles of quantification</w:t>
      </w:r>
      <w:r w:rsidR="00AA18BB" w:rsidRPr="00ED2006">
        <w:rPr>
          <w:sz w:val="22"/>
          <w:szCs w:val="22"/>
          <w:lang w:val="en-GB"/>
        </w:rPr>
        <w:t xml:space="preserve">. </w:t>
      </w:r>
      <w:r w:rsidR="00B01FF7" w:rsidRPr="00ED2006">
        <w:rPr>
          <w:sz w:val="22"/>
          <w:szCs w:val="22"/>
          <w:lang w:val="en-GB"/>
        </w:rPr>
        <w:t xml:space="preserve">So, </w:t>
      </w:r>
      <w:r w:rsidRPr="00ED2006">
        <w:rPr>
          <w:sz w:val="22"/>
          <w:szCs w:val="22"/>
          <w:lang w:val="en-GB"/>
        </w:rPr>
        <w:t xml:space="preserve">through the establishment then the confrontation of two </w:t>
      </w:r>
      <w:r w:rsidRPr="00ED2006">
        <w:rPr>
          <w:sz w:val="22"/>
          <w:szCs w:val="22"/>
          <w:shd w:val="clear" w:color="auto" w:fill="FFFFFF"/>
          <w:lang w:val="en-GB"/>
        </w:rPr>
        <w:t>geographical areas</w:t>
      </w:r>
      <w:r w:rsidRPr="00ED2006">
        <w:rPr>
          <w:sz w:val="22"/>
          <w:szCs w:val="22"/>
          <w:shd w:val="clear" w:color="auto" w:fill="FFFFFF"/>
          <w:lang w:val="en-GB"/>
        </w:rPr>
        <w:t xml:space="preserve"> (</w:t>
      </w:r>
      <w:r w:rsidRPr="00ED2006">
        <w:rPr>
          <w:sz w:val="22"/>
          <w:szCs w:val="22"/>
          <w:shd w:val="clear" w:color="auto" w:fill="FFFFFF"/>
          <w:lang w:val="en-GB"/>
        </w:rPr>
        <w:t>the northern Lazio and the southern Etruria</w:t>
      </w:r>
      <w:r w:rsidRPr="00ED2006">
        <w:rPr>
          <w:sz w:val="22"/>
          <w:szCs w:val="22"/>
          <w:shd w:val="clear" w:color="auto" w:fill="FFFFFF"/>
          <w:lang w:val="en-GB"/>
        </w:rPr>
        <w:t xml:space="preserve">) and </w:t>
      </w:r>
      <w:r w:rsidRPr="00ED2006">
        <w:rPr>
          <w:sz w:val="22"/>
          <w:szCs w:val="22"/>
          <w:shd w:val="clear" w:color="auto" w:fill="FFFFFF"/>
          <w:lang w:val="en-GB"/>
        </w:rPr>
        <w:t xml:space="preserve">three chronological </w:t>
      </w:r>
      <w:r w:rsidRPr="00ED2006">
        <w:rPr>
          <w:sz w:val="22"/>
          <w:szCs w:val="22"/>
          <w:shd w:val="clear" w:color="auto" w:fill="FFFFFF"/>
          <w:lang w:val="en-GB"/>
        </w:rPr>
        <w:t>eras (</w:t>
      </w:r>
      <w:r w:rsidRPr="00ED2006">
        <w:rPr>
          <w:sz w:val="22"/>
          <w:szCs w:val="22"/>
          <w:shd w:val="clear" w:color="auto" w:fill="FFFFFF"/>
          <w:lang w:val="en-GB"/>
        </w:rPr>
        <w:t xml:space="preserve">the first half of </w:t>
      </w:r>
      <w:r w:rsidR="00ED2006">
        <w:rPr>
          <w:sz w:val="22"/>
          <w:szCs w:val="22"/>
          <w:shd w:val="clear" w:color="auto" w:fill="FFFFFF"/>
          <w:lang w:val="en-GB"/>
        </w:rPr>
        <w:t>2</w:t>
      </w:r>
      <w:r w:rsidRPr="00ED2006">
        <w:rPr>
          <w:sz w:val="22"/>
          <w:szCs w:val="22"/>
          <w:shd w:val="clear" w:color="auto" w:fill="FFFFFF"/>
          <w:vertAlign w:val="superscript"/>
          <w:lang w:val="en-GB"/>
        </w:rPr>
        <w:t>th</w:t>
      </w:r>
      <w:r w:rsidRPr="00ED2006">
        <w:rPr>
          <w:sz w:val="22"/>
          <w:szCs w:val="22"/>
          <w:shd w:val="clear" w:color="auto" w:fill="FFFFFF"/>
          <w:lang w:val="en-GB"/>
        </w:rPr>
        <w:t xml:space="preserve"> s</w:t>
      </w:r>
      <w:r w:rsidRPr="00ED2006">
        <w:rPr>
          <w:sz w:val="22"/>
          <w:szCs w:val="22"/>
          <w:shd w:val="clear" w:color="auto" w:fill="FFFFFF"/>
          <w:lang w:val="en-GB"/>
        </w:rPr>
        <w:t>. B.C.</w:t>
      </w:r>
      <w:r w:rsidRPr="00ED2006">
        <w:rPr>
          <w:sz w:val="22"/>
          <w:szCs w:val="22"/>
          <w:shd w:val="clear" w:color="auto" w:fill="FFFFFF"/>
          <w:lang w:val="en-GB"/>
        </w:rPr>
        <w:t xml:space="preserve">, the second half of </w:t>
      </w:r>
      <w:r w:rsidR="00ED2006">
        <w:rPr>
          <w:sz w:val="22"/>
          <w:szCs w:val="22"/>
          <w:shd w:val="clear" w:color="auto" w:fill="FFFFFF"/>
          <w:lang w:val="en-GB"/>
        </w:rPr>
        <w:t>2</w:t>
      </w:r>
      <w:r w:rsidRPr="00ED2006">
        <w:rPr>
          <w:sz w:val="22"/>
          <w:szCs w:val="22"/>
          <w:shd w:val="clear" w:color="auto" w:fill="FFFFFF"/>
          <w:vertAlign w:val="superscript"/>
          <w:lang w:val="en-GB"/>
        </w:rPr>
        <w:t>th</w:t>
      </w:r>
      <w:r w:rsidRPr="00ED2006">
        <w:rPr>
          <w:sz w:val="22"/>
          <w:szCs w:val="22"/>
          <w:shd w:val="clear" w:color="auto" w:fill="FFFFFF"/>
          <w:lang w:val="en-GB"/>
        </w:rPr>
        <w:t xml:space="preserve"> s</w:t>
      </w:r>
      <w:r w:rsidRPr="00ED2006">
        <w:rPr>
          <w:sz w:val="22"/>
          <w:szCs w:val="22"/>
          <w:shd w:val="clear" w:color="auto" w:fill="FFFFFF"/>
          <w:lang w:val="en-GB"/>
        </w:rPr>
        <w:t>. B.C.</w:t>
      </w:r>
      <w:r w:rsidRPr="00ED2006">
        <w:rPr>
          <w:sz w:val="22"/>
          <w:szCs w:val="22"/>
          <w:shd w:val="clear" w:color="auto" w:fill="FFFFFF"/>
          <w:lang w:val="en-GB"/>
        </w:rPr>
        <w:t xml:space="preserve">, and </w:t>
      </w:r>
      <w:r w:rsidR="00ED2006">
        <w:rPr>
          <w:sz w:val="22"/>
          <w:szCs w:val="22"/>
          <w:shd w:val="clear" w:color="auto" w:fill="FFFFFF"/>
          <w:lang w:val="en-GB"/>
        </w:rPr>
        <w:t>1</w:t>
      </w:r>
      <w:r w:rsidR="00ED2006" w:rsidRPr="00ED2006">
        <w:rPr>
          <w:sz w:val="22"/>
          <w:szCs w:val="22"/>
          <w:shd w:val="clear" w:color="auto" w:fill="FFFFFF"/>
          <w:vertAlign w:val="superscript"/>
          <w:lang w:val="en-GB"/>
        </w:rPr>
        <w:t>st</w:t>
      </w:r>
      <w:r w:rsidRPr="00ED2006">
        <w:rPr>
          <w:sz w:val="22"/>
          <w:szCs w:val="22"/>
          <w:shd w:val="clear" w:color="auto" w:fill="FFFFFF"/>
          <w:lang w:val="en-GB"/>
        </w:rPr>
        <w:t xml:space="preserve"> s</w:t>
      </w:r>
      <w:r w:rsidRPr="00ED2006">
        <w:rPr>
          <w:sz w:val="22"/>
          <w:szCs w:val="22"/>
          <w:shd w:val="clear" w:color="auto" w:fill="FFFFFF"/>
          <w:lang w:val="en-GB"/>
        </w:rPr>
        <w:t>.</w:t>
      </w:r>
      <w:r w:rsidRPr="00ED2006">
        <w:rPr>
          <w:sz w:val="22"/>
          <w:szCs w:val="22"/>
          <w:shd w:val="clear" w:color="auto" w:fill="FFFFFF"/>
          <w:lang w:val="en-GB"/>
        </w:rPr>
        <w:t xml:space="preserve"> B.C.</w:t>
      </w:r>
      <w:r w:rsidRPr="00ED2006">
        <w:rPr>
          <w:sz w:val="22"/>
          <w:szCs w:val="22"/>
          <w:shd w:val="clear" w:color="auto" w:fill="FFFFFF"/>
          <w:lang w:val="en-GB"/>
        </w:rPr>
        <w:t>)</w:t>
      </w:r>
      <w:r w:rsidR="00ED2006" w:rsidRPr="00ED2006">
        <w:rPr>
          <w:sz w:val="22"/>
          <w:szCs w:val="22"/>
          <w:shd w:val="clear" w:color="auto" w:fill="FFFFFF"/>
          <w:lang w:val="en-GB"/>
        </w:rPr>
        <w:t>, this research wants to determinate the</w:t>
      </w:r>
      <w:r w:rsidR="00ED2006" w:rsidRPr="00ED2006">
        <w:rPr>
          <w:sz w:val="22"/>
          <w:szCs w:val="22"/>
          <w:shd w:val="clear" w:color="auto" w:fill="FFFFFF"/>
          <w:lang w:val="en-GB"/>
        </w:rPr>
        <w:t xml:space="preserve"> uniformity</w:t>
      </w:r>
      <w:r w:rsidR="00ED2006" w:rsidRPr="00ED2006">
        <w:rPr>
          <w:sz w:val="22"/>
          <w:szCs w:val="22"/>
          <w:shd w:val="clear" w:color="auto" w:fill="FFFFFF"/>
          <w:lang w:val="en-GB"/>
        </w:rPr>
        <w:t xml:space="preserve">, the </w:t>
      </w:r>
      <w:r w:rsidR="00ED2006" w:rsidRPr="00ED2006">
        <w:rPr>
          <w:sz w:val="22"/>
          <w:szCs w:val="22"/>
          <w:shd w:val="clear" w:color="auto" w:fill="FFFFFF"/>
          <w:lang w:val="en-GB"/>
        </w:rPr>
        <w:t xml:space="preserve">specificities </w:t>
      </w:r>
      <w:r w:rsidR="00ED2006" w:rsidRPr="00ED2006">
        <w:rPr>
          <w:sz w:val="22"/>
          <w:szCs w:val="22"/>
          <w:shd w:val="clear" w:color="auto" w:fill="FFFFFF"/>
          <w:lang w:val="en-GB"/>
        </w:rPr>
        <w:t>and the evolutions</w:t>
      </w:r>
      <w:r w:rsidR="00ED2006" w:rsidRPr="00ED2006">
        <w:rPr>
          <w:sz w:val="22"/>
          <w:szCs w:val="22"/>
          <w:shd w:val="clear" w:color="auto" w:fill="FFFFFF"/>
          <w:lang w:val="en-GB"/>
        </w:rPr>
        <w:t>, whether it is regarding classes, categories, forms and types</w:t>
      </w:r>
      <w:r w:rsidR="00ED2006" w:rsidRPr="00ED2006">
        <w:rPr>
          <w:sz w:val="22"/>
          <w:szCs w:val="22"/>
          <w:shd w:val="clear" w:color="auto" w:fill="FFFFFF"/>
          <w:lang w:val="en-GB"/>
        </w:rPr>
        <w:t>, to then, argue the questions of identity and cultural practices, economy and commercial nets and chronology of the pottery itself.</w:t>
      </w:r>
    </w:p>
    <w:p w:rsidR="00AA18BB" w:rsidRPr="00912D92" w:rsidRDefault="00AA18BB" w:rsidP="00912D92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en-GB"/>
        </w:rPr>
      </w:pPr>
    </w:p>
    <w:p w:rsidR="00AA18BB" w:rsidRPr="00912D92" w:rsidRDefault="00AA18BB" w:rsidP="00B01FF7">
      <w:pPr>
        <w:spacing w:after="0" w:line="276" w:lineRule="auto"/>
        <w:jc w:val="both"/>
        <w:rPr>
          <w:rFonts w:ascii="Times New Roman" w:hAnsi="Times New Roman" w:cs="Times New Roman"/>
          <w:lang w:val="en-GB"/>
        </w:rPr>
      </w:pPr>
    </w:p>
    <w:sectPr w:rsidR="00AA18BB" w:rsidRPr="0091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55C"/>
    <w:multiLevelType w:val="multilevel"/>
    <w:tmpl w:val="3134F020"/>
    <w:lvl w:ilvl="0">
      <w:start w:val="1"/>
      <w:numFmt w:val="decimal"/>
      <w:pStyle w:val="Titre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652E30"/>
    <w:multiLevelType w:val="hybridMultilevel"/>
    <w:tmpl w:val="6D1C6D7A"/>
    <w:lvl w:ilvl="0" w:tplc="77DE08BC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00"/>
    <w:rsid w:val="002506C8"/>
    <w:rsid w:val="00280D00"/>
    <w:rsid w:val="002D2240"/>
    <w:rsid w:val="008B5109"/>
    <w:rsid w:val="00912D92"/>
    <w:rsid w:val="00AA18BB"/>
    <w:rsid w:val="00B01FF7"/>
    <w:rsid w:val="00CC2010"/>
    <w:rsid w:val="00D27BE5"/>
    <w:rsid w:val="00DC7B56"/>
    <w:rsid w:val="00E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BF31"/>
  <w15:chartTrackingRefBased/>
  <w15:docId w15:val="{10463F25-D648-4194-A89E-387BFBB3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6">
    <w:name w:val="heading 6"/>
    <w:aliases w:val="N7 A"/>
    <w:next w:val="Normal"/>
    <w:link w:val="Titre6Car"/>
    <w:uiPriority w:val="9"/>
    <w:unhideWhenUsed/>
    <w:qFormat/>
    <w:rsid w:val="002D2240"/>
    <w:pPr>
      <w:keepNext/>
      <w:keepLines/>
      <w:numPr>
        <w:numId w:val="2"/>
      </w:numPr>
      <w:spacing w:before="240" w:after="240" w:line="360" w:lineRule="auto"/>
      <w:ind w:left="2484" w:hanging="360"/>
      <w:jc w:val="both"/>
      <w:outlineLvl w:val="5"/>
    </w:pPr>
    <w:rPr>
      <w:rFonts w:ascii="Times New Roman" w:eastAsiaTheme="majorEastAsia" w:hAnsi="Times New Roman" w:cs="Mangal"/>
      <w:kern w:val="1"/>
      <w:sz w:val="24"/>
      <w:szCs w:val="2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aliases w:val="N7 A Car"/>
    <w:basedOn w:val="Policepardfaut"/>
    <w:link w:val="Titre6"/>
    <w:uiPriority w:val="9"/>
    <w:rsid w:val="002D2240"/>
    <w:rPr>
      <w:rFonts w:ascii="Times New Roman" w:eastAsiaTheme="majorEastAsia" w:hAnsi="Times New Roman" w:cs="Mangal"/>
      <w:kern w:val="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AA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18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Motta</dc:creator>
  <cp:keywords/>
  <dc:description/>
  <cp:lastModifiedBy>Lucie Motta</cp:lastModifiedBy>
  <cp:revision>1</cp:revision>
  <dcterms:created xsi:type="dcterms:W3CDTF">2019-01-21T08:26:00Z</dcterms:created>
  <dcterms:modified xsi:type="dcterms:W3CDTF">2019-01-21T09:19:00Z</dcterms:modified>
</cp:coreProperties>
</file>